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bookmarkStart w:id="0" w:name="_GoBack"/>
      <w:bookmarkEnd w:id="0"/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4F3D8D">
        <w:rPr>
          <w:rFonts w:asciiTheme="majorEastAsia" w:eastAsiaTheme="majorEastAsia" w:hAnsiTheme="majorEastAsia" w:hint="eastAsia"/>
          <w:color w:val="000000"/>
          <w:kern w:val="0"/>
          <w:szCs w:val="21"/>
        </w:rPr>
        <w:t>ロ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DB601F">
        <w:rPr>
          <w:rFonts w:asciiTheme="majorEastAsia" w:eastAsiaTheme="majorEastAsia" w:hAnsiTheme="majorEastAsia" w:hint="eastAsia"/>
          <w:color w:val="000000"/>
          <w:kern w:val="0"/>
          <w:szCs w:val="21"/>
        </w:rPr>
        <w:t>２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4F3D8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4F3D8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））</w:t>
            </w:r>
          </w:p>
          <w:p w:rsidR="0060765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60765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60765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60765A" w:rsidRPr="002519C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60765A" w:rsidRPr="001A2F6E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60765A" w:rsidRPr="008524F1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</w:t>
            </w:r>
            <w:r w:rsidR="004344A1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同事業者との</w:t>
            </w:r>
            <w:r w:rsidR="004344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間接的な</w:t>
            </w:r>
            <w:r w:rsidR="004344A1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取引</w:t>
            </w:r>
            <w:r w:rsidR="004344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の連鎖</w:t>
            </w:r>
            <w:r w:rsidR="00BF3A8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関係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について売上高等の減少が生じているため、経営の安定に支障が生じておりますので、中小企業信用保険法第２条第５項第２号</w:t>
            </w:r>
            <w:r w:rsidR="004F3D8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BD0279" w:rsidRPr="002519CA" w:rsidRDefault="00BD0279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Default="0060765A" w:rsidP="0060765A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60765A" w:rsidRDefault="0060765A" w:rsidP="0060765A"/>
          <w:p w:rsidR="0060765A" w:rsidRPr="006C768B" w:rsidRDefault="0060765A" w:rsidP="0060765A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60765A" w:rsidRPr="00181E40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0744DD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に対する取引依存度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％（Ａ／Ｂ）</w:t>
            </w:r>
          </w:p>
          <w:p w:rsidR="0060765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Ａ：令和　　　年　　　月　　　日から令和　　　年　　　月　　　日までの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P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DC422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</w:t>
            </w:r>
            <w:r w:rsidR="00B637A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関連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する取引額等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C768B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Ｂ：上記期間中の全取引額等　　　　　　　　　　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0765A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</w:p>
          <w:p w:rsidR="006C768B" w:rsidRPr="0060765A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0765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C768B" w:rsidRPr="0060765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　売上高等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Ｄ－Ｃ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る直前３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月平均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DB601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DB601F" w:rsidRP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最近３か月間の売上高等の実績見込み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Ｆ－（Ｃ＋Ｅ）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Ｆ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Ｅ：Ｃの期間後２か月間の見込み売上高等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P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Ｆ：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る直前３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DB601F" w:rsidRPr="002519CA" w:rsidRDefault="00DB601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5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0765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60765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60765A" w:rsidRPr="002519C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60765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60765A" w:rsidRPr="002519C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60765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60765A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B637A5" w:rsidRPr="00B637A5" w:rsidRDefault="00A179F0" w:rsidP="00B637A5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</w:t>
      </w:r>
      <w:r w:rsidR="00B637A5"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留意事項）</w:t>
      </w:r>
    </w:p>
    <w:p w:rsidR="00B637A5" w:rsidRDefault="00B637A5" w:rsidP="00B637A5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本様式は、業歴１年１か月未満の場合あるいは前年以降、事業拡大等により前年比較が適当でな</w:t>
      </w:r>
    </w:p>
    <w:p w:rsidR="00B637A5" w:rsidRPr="00B637A5" w:rsidRDefault="00B637A5" w:rsidP="00B637A5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B637A5" w:rsidRPr="00B637A5" w:rsidRDefault="00B637A5" w:rsidP="00B637A5">
      <w:pPr>
        <w:suppressAutoHyphens/>
        <w:wordWrap w:val="0"/>
        <w:spacing w:line="246" w:lineRule="exact"/>
        <w:ind w:leftChars="100" w:left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B637A5" w:rsidRDefault="00B637A5" w:rsidP="00B637A5">
      <w:pPr>
        <w:suppressAutoHyphens/>
        <w:wordWrap w:val="0"/>
        <w:spacing w:line="246" w:lineRule="exact"/>
        <w:ind w:left="1230" w:rightChars="-16" w:right="-34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市町村長又は特別区長から認定を受けた日から30日以内に金融機関又は信用保証協会に対して、</w:t>
      </w:r>
    </w:p>
    <w:p w:rsidR="00795F7C" w:rsidRDefault="00B637A5" w:rsidP="00B637A5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B637A5">
        <w:rPr>
          <w:rFonts w:asciiTheme="majorEastAsia" w:eastAsiaTheme="majorEastAsia" w:hAnsiTheme="majorEastAsia" w:hint="eastAsia"/>
          <w:kern w:val="0"/>
          <w:szCs w:val="21"/>
        </w:rPr>
        <w:t>ロ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DB601F">
        <w:rPr>
          <w:rFonts w:asciiTheme="majorEastAsia" w:eastAsiaTheme="majorEastAsia" w:hAnsiTheme="majorEastAsia" w:hint="eastAsia"/>
          <w:color w:val="000000"/>
          <w:kern w:val="0"/>
          <w:szCs w:val="21"/>
        </w:rPr>
        <w:t>２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一定期間中の取引金額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指定事業者との取引金額</w:t>
            </w:r>
            <w:r w:rsidR="0060765A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60765A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Ａ</w:t>
            </w:r>
            <w:r w:rsidR="0060765A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全体の取引金額</w:t>
            </w:r>
            <w:r w:rsidR="0060765A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60765A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Ｂ</w:t>
            </w:r>
            <w:r w:rsidR="0060765A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円</w:t>
            </w:r>
          </w:p>
        </w:tc>
      </w:tr>
    </w:tbl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010E77" w:rsidRDefault="00010E77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取引依存率</w:t>
      </w: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）</w:t>
      </w:r>
    </w:p>
    <w:p w:rsidR="00FB288D" w:rsidRDefault="00FB288D" w:rsidP="00FB288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bookmarkStart w:id="1" w:name="_Hlk220587608"/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bookmarkEnd w:id="1"/>
    <w:p w:rsidR="00FB288D" w:rsidRPr="00FB288D" w:rsidRDefault="00FB288D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【Ａ】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3515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　円</w:t>
            </w:r>
          </w:p>
        </w:tc>
        <w:tc>
          <w:tcPr>
            <w:tcW w:w="1701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8372F" w:rsidRDefault="0078372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83C19" w:rsidRPr="00FB288D" w:rsidRDefault="00A83C19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：事業活動の制限を受けた後最近１か月間の売上高【Ｃ】）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556BF8" w:rsidRDefault="00556BF8" w:rsidP="00556BF8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556BF8" w:rsidRDefault="00556BF8" w:rsidP="00556BF8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Pr="00115084">
        <w:rPr>
          <w:rFonts w:ascii="ＭＳ ゴシック" w:eastAsia="ＭＳ ゴシック" w:hAnsi="ＭＳ ゴシック" w:hint="eastAsia"/>
          <w:szCs w:val="21"/>
        </w:rPr>
        <w:t>Ｃの期間後２か月間の見込み売上高【Ｅ】）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556BF8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F8" w:rsidRPr="005E7F41" w:rsidRDefault="00556BF8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2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F8" w:rsidRPr="005E7F41" w:rsidRDefault="00556BF8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556BF8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F8" w:rsidRPr="005E7F41" w:rsidRDefault="00556BF8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F8" w:rsidRPr="005E7F41" w:rsidRDefault="00556BF8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556BF8" w:rsidRPr="00BB6AF9" w:rsidTr="000869D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F8" w:rsidRPr="00AD1BAE" w:rsidRDefault="00556BF8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F8" w:rsidRPr="005E7F41" w:rsidRDefault="00556BF8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bookmarkEnd w:id="2"/>
    </w:tbl>
    <w:p w:rsidR="0078372F" w:rsidRPr="00556BF8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78372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556BF8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事業活動の制限を受ける直前３か月間の売上高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【Ｆ】）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DB601F" w:rsidRPr="00DB601F" w:rsidRDefault="00DB601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Pr="00556BF8" w:rsidRDefault="0078372F" w:rsidP="00DB601F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556BF8">
        <w:rPr>
          <w:rFonts w:asciiTheme="majorEastAsia" w:eastAsiaTheme="majorEastAsia" w:hAnsiTheme="majorEastAsia" w:hint="eastAsia"/>
          <w:szCs w:val="21"/>
        </w:rPr>
        <w:t>５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事業活動の制限を受ける直前３か月間の月平均売上高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【Ｄ】</w:t>
      </w:r>
      <w:r w:rsidR="00DB601F"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4B7F7B" w:rsidRPr="002A3437" w:rsidRDefault="004B7F7B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Ｆ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10E77" w:rsidRDefault="00010E77" w:rsidP="00010E77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</w:p>
    <w:p w:rsidR="00A83C19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  <w:r w:rsidRPr="00115084">
        <w:rPr>
          <w:rFonts w:ascii="ＭＳ ゴシック" w:eastAsia="ＭＳ ゴシック" w:hAnsi="Times New Roman" w:hint="eastAsia"/>
          <w:color w:val="000000"/>
          <w:kern w:val="0"/>
          <w:szCs w:val="21"/>
          <w:bdr w:val="single" w:sz="4" w:space="0" w:color="auto"/>
        </w:rPr>
        <w:t>裏面あり</w:t>
      </w:r>
      <w:r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  <w:br w:type="page"/>
      </w:r>
    </w:p>
    <w:p w:rsidR="00A83C19" w:rsidRPr="00E968E0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firstLineChars="2900" w:firstLine="6380"/>
        <w:jc w:val="right"/>
        <w:textAlignment w:val="baseline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Times New Roman" w:hint="eastAsia"/>
          <w:color w:val="000000"/>
          <w:kern w:val="0"/>
          <w:sz w:val="22"/>
          <w:bdr w:val="single" w:sz="4" w:space="0" w:color="auto"/>
        </w:rPr>
        <w:lastRenderedPageBreak/>
        <w:t>裏面</w:t>
      </w:r>
    </w:p>
    <w:p w:rsidR="00A83C19" w:rsidRPr="00A93D1F" w:rsidRDefault="00A83C19" w:rsidP="00A83C19">
      <w:pPr>
        <w:widowControl/>
        <w:ind w:leftChars="300" w:left="630" w:firstLineChars="300" w:firstLine="660"/>
        <w:jc w:val="right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kern w:val="0"/>
          <w:szCs w:val="21"/>
        </w:rPr>
        <w:t>２</w:t>
      </w:r>
      <w:r w:rsidRPr="00BB6AF9">
        <w:rPr>
          <w:rFonts w:ascii="ＭＳ ゴシック" w:eastAsia="ＭＳ ゴシック" w:hAnsi="ＭＳ ゴシック" w:hint="eastAsia"/>
          <w:kern w:val="0"/>
          <w:szCs w:val="21"/>
        </w:rPr>
        <w:t>－①－</w:t>
      </w:r>
      <w:r w:rsidR="00B637A5">
        <w:rPr>
          <w:rFonts w:ascii="ＭＳ ゴシック" w:eastAsia="ＭＳ ゴシック" w:hAnsi="ＭＳ ゴシック" w:hint="eastAsia"/>
          <w:kern w:val="0"/>
          <w:szCs w:val="21"/>
        </w:rPr>
        <w:t>ロ</w:t>
      </w:r>
      <w:r w:rsidRPr="00AA464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－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（２）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E968E0">
        <w:rPr>
          <w:rFonts w:ascii="ＭＳ ゴシック" w:eastAsia="ＭＳ ゴシック" w:hAnsi="ＭＳ ゴシック" w:hint="eastAsia"/>
          <w:sz w:val="22"/>
        </w:rPr>
        <w:t>添付書類）</w:t>
      </w:r>
    </w:p>
    <w:p w:rsidR="00010E77" w:rsidRDefault="00010E77" w:rsidP="00010E77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010E77" w:rsidRDefault="00010E77" w:rsidP="00010E7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FB288D" w:rsidRDefault="00FB288D" w:rsidP="00FB288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4B7F7B" w:rsidRPr="00FB288D" w:rsidRDefault="004B7F7B" w:rsidP="00010E7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010E77" w:rsidRPr="002A3437" w:rsidTr="00BE3788">
        <w:trPr>
          <w:trHeight w:val="431"/>
        </w:trPr>
        <w:tc>
          <w:tcPr>
            <w:tcW w:w="6946" w:type="dxa"/>
          </w:tcPr>
          <w:p w:rsidR="00010E77" w:rsidRPr="002A3437" w:rsidRDefault="00010E77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Ｃ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010E77" w:rsidRPr="002A3437" w:rsidRDefault="00010E77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010E77" w:rsidRPr="002A3437" w:rsidRDefault="00010E77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010E77" w:rsidRPr="002A3437" w:rsidTr="00BE3788">
        <w:trPr>
          <w:trHeight w:val="431"/>
        </w:trPr>
        <w:tc>
          <w:tcPr>
            <w:tcW w:w="6946" w:type="dxa"/>
          </w:tcPr>
          <w:p w:rsidR="00010E77" w:rsidRPr="0086777C" w:rsidRDefault="00010E77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　　　　　　　　　円</w:t>
            </w:r>
          </w:p>
        </w:tc>
        <w:tc>
          <w:tcPr>
            <w:tcW w:w="1207" w:type="dxa"/>
            <w:vMerge/>
          </w:tcPr>
          <w:p w:rsidR="00010E77" w:rsidRPr="002A3437" w:rsidRDefault="00010E77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010E77" w:rsidRPr="002A3437" w:rsidRDefault="00010E77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10E77" w:rsidRPr="00DB601F" w:rsidRDefault="00010E77" w:rsidP="00010E77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010E77" w:rsidRDefault="00010E77" w:rsidP="00010E7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</w:t>
      </w:r>
      <w:r>
        <w:rPr>
          <w:rFonts w:asciiTheme="majorEastAsia" w:eastAsiaTheme="majorEastAsia" w:hAnsiTheme="majorEastAsia" w:hint="eastAsia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</w:t>
      </w:r>
      <w:r>
        <w:rPr>
          <w:rFonts w:asciiTheme="majorEastAsia" w:eastAsiaTheme="majorEastAsia" w:hAnsiTheme="majorEastAsia" w:hint="eastAsia"/>
          <w:color w:val="000000"/>
          <w:kern w:val="0"/>
          <w:szCs w:val="21"/>
        </w:rPr>
        <w:t>見込み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減少率）</w:t>
      </w:r>
    </w:p>
    <w:p w:rsidR="00FB288D" w:rsidRDefault="00FB288D" w:rsidP="00FB288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4B7F7B" w:rsidRPr="00FB288D" w:rsidRDefault="004B7F7B" w:rsidP="00010E7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010E77" w:rsidRPr="002A3437" w:rsidTr="00BE3788">
        <w:trPr>
          <w:trHeight w:val="431"/>
        </w:trPr>
        <w:tc>
          <w:tcPr>
            <w:tcW w:w="9746" w:type="dxa"/>
          </w:tcPr>
          <w:p w:rsidR="00010E77" w:rsidRPr="002A3437" w:rsidRDefault="00010E77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【Ｆ】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【Ｃ】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3A539D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Ｅ】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010E77" w:rsidRPr="002A3437" w:rsidTr="00BE3788">
        <w:trPr>
          <w:trHeight w:val="431"/>
        </w:trPr>
        <w:tc>
          <w:tcPr>
            <w:tcW w:w="9746" w:type="dxa"/>
          </w:tcPr>
          <w:p w:rsidR="00010E77" w:rsidRPr="0086777C" w:rsidRDefault="00010E77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【Ｆ】　　　　　　　　円</w:t>
            </w:r>
          </w:p>
        </w:tc>
      </w:tr>
    </w:tbl>
    <w:p w:rsidR="00010E77" w:rsidRDefault="00010E77" w:rsidP="00010E77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010E77" w:rsidRPr="00115084" w:rsidRDefault="00010E77" w:rsidP="00010E77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83C19" w:rsidRPr="00A83C19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84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A83C19" w:rsidRDefault="00A83C19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A83C19" w:rsidRDefault="00E86C7F" w:rsidP="00A83C19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A83C19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10E77"/>
    <w:rsid w:val="00054528"/>
    <w:rsid w:val="000744DD"/>
    <w:rsid w:val="000834AC"/>
    <w:rsid w:val="00092C2F"/>
    <w:rsid w:val="000C6E44"/>
    <w:rsid w:val="000F64B7"/>
    <w:rsid w:val="00120456"/>
    <w:rsid w:val="00154762"/>
    <w:rsid w:val="00156659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3145A0"/>
    <w:rsid w:val="003569DD"/>
    <w:rsid w:val="003A539D"/>
    <w:rsid w:val="003C7585"/>
    <w:rsid w:val="00404070"/>
    <w:rsid w:val="004301CC"/>
    <w:rsid w:val="004344A1"/>
    <w:rsid w:val="00437311"/>
    <w:rsid w:val="00462DFF"/>
    <w:rsid w:val="00467A30"/>
    <w:rsid w:val="00475529"/>
    <w:rsid w:val="004806E8"/>
    <w:rsid w:val="00497A82"/>
    <w:rsid w:val="004A1A3B"/>
    <w:rsid w:val="004B7F7B"/>
    <w:rsid w:val="004D0B1F"/>
    <w:rsid w:val="004F3D8D"/>
    <w:rsid w:val="004F786E"/>
    <w:rsid w:val="00521004"/>
    <w:rsid w:val="00532F79"/>
    <w:rsid w:val="00542571"/>
    <w:rsid w:val="00550E53"/>
    <w:rsid w:val="00556BF8"/>
    <w:rsid w:val="00560301"/>
    <w:rsid w:val="00563C5B"/>
    <w:rsid w:val="005A5076"/>
    <w:rsid w:val="0060765A"/>
    <w:rsid w:val="00631C7C"/>
    <w:rsid w:val="006C768B"/>
    <w:rsid w:val="00716DBB"/>
    <w:rsid w:val="00746CE6"/>
    <w:rsid w:val="00752598"/>
    <w:rsid w:val="00763F01"/>
    <w:rsid w:val="0078372F"/>
    <w:rsid w:val="00794366"/>
    <w:rsid w:val="00795F7C"/>
    <w:rsid w:val="007D600C"/>
    <w:rsid w:val="00844BAC"/>
    <w:rsid w:val="00881A23"/>
    <w:rsid w:val="00893906"/>
    <w:rsid w:val="008950EE"/>
    <w:rsid w:val="00900C0F"/>
    <w:rsid w:val="0092601E"/>
    <w:rsid w:val="00937B5E"/>
    <w:rsid w:val="00957BA3"/>
    <w:rsid w:val="009806E5"/>
    <w:rsid w:val="00995DDD"/>
    <w:rsid w:val="009B0DF8"/>
    <w:rsid w:val="009B2996"/>
    <w:rsid w:val="009B3C51"/>
    <w:rsid w:val="00A179F0"/>
    <w:rsid w:val="00A7182C"/>
    <w:rsid w:val="00A83C19"/>
    <w:rsid w:val="00AA1640"/>
    <w:rsid w:val="00AF1776"/>
    <w:rsid w:val="00B40023"/>
    <w:rsid w:val="00B455CD"/>
    <w:rsid w:val="00B637A5"/>
    <w:rsid w:val="00BA14A3"/>
    <w:rsid w:val="00BD0279"/>
    <w:rsid w:val="00BD1C65"/>
    <w:rsid w:val="00BE306E"/>
    <w:rsid w:val="00BF256A"/>
    <w:rsid w:val="00BF3A84"/>
    <w:rsid w:val="00C120FB"/>
    <w:rsid w:val="00C23857"/>
    <w:rsid w:val="00C43A74"/>
    <w:rsid w:val="00C441BC"/>
    <w:rsid w:val="00C53C28"/>
    <w:rsid w:val="00C5754F"/>
    <w:rsid w:val="00C74480"/>
    <w:rsid w:val="00CA07EA"/>
    <w:rsid w:val="00CB00F5"/>
    <w:rsid w:val="00CE1F3E"/>
    <w:rsid w:val="00CF3E8F"/>
    <w:rsid w:val="00D23195"/>
    <w:rsid w:val="00D31BCC"/>
    <w:rsid w:val="00D5382A"/>
    <w:rsid w:val="00D65FC0"/>
    <w:rsid w:val="00D82B66"/>
    <w:rsid w:val="00DA572E"/>
    <w:rsid w:val="00DB601F"/>
    <w:rsid w:val="00DC422C"/>
    <w:rsid w:val="00DF6DE0"/>
    <w:rsid w:val="00E10140"/>
    <w:rsid w:val="00E8394A"/>
    <w:rsid w:val="00E86C7F"/>
    <w:rsid w:val="00E95447"/>
    <w:rsid w:val="00EB4642"/>
    <w:rsid w:val="00EF5BA5"/>
    <w:rsid w:val="00F47C89"/>
    <w:rsid w:val="00F50375"/>
    <w:rsid w:val="00F72D1F"/>
    <w:rsid w:val="00F75AA8"/>
    <w:rsid w:val="00FA1C89"/>
    <w:rsid w:val="00FA7C68"/>
    <w:rsid w:val="00FB288D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D8FA955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C1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EBE7-D4FB-4ED5-BE18-69A183EC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71</cp:revision>
  <cp:lastPrinted>2025-09-10T05:48:00Z</cp:lastPrinted>
  <dcterms:created xsi:type="dcterms:W3CDTF">2020-04-30T05:41:00Z</dcterms:created>
  <dcterms:modified xsi:type="dcterms:W3CDTF">2026-01-29T05:33:00Z</dcterms:modified>
</cp:coreProperties>
</file>